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6B9" w:rsidRDefault="00F136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F136B9" w:rsidRDefault="001A00D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color w:val="000000"/>
          <w:sz w:val="44"/>
          <w:szCs w:val="44"/>
        </w:rPr>
        <w:sectPr w:rsidR="00F136B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720" w:right="849" w:bottom="720" w:left="720" w:header="708" w:footer="708" w:gutter="0"/>
          <w:pgNumType w:start="1"/>
          <w:cols w:space="708"/>
        </w:sectPr>
      </w:pPr>
      <w:r>
        <w:rPr>
          <w:rFonts w:ascii="Arial" w:eastAsia="Arial" w:hAnsi="Arial" w:cs="Arial"/>
          <w:b/>
          <w:sz w:val="44"/>
          <w:szCs w:val="44"/>
        </w:rPr>
        <w:t>Proudění a objemový průtok – řešení</w:t>
      </w:r>
    </w:p>
    <w:p w:rsidR="00F136B9" w:rsidRDefault="001A00DB">
      <w:pPr>
        <w:pBdr>
          <w:top w:val="nil"/>
          <w:left w:val="nil"/>
          <w:bottom w:val="nil"/>
          <w:right w:val="nil"/>
          <w:between w:val="nil"/>
        </w:pBdr>
        <w:spacing w:before="240" w:after="120"/>
        <w:ind w:right="13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Pracovní list je určen pro studenty </w:t>
      </w:r>
      <w:r>
        <w:rPr>
          <w:rFonts w:ascii="Arial" w:eastAsia="Arial" w:hAnsi="Arial" w:cs="Arial"/>
          <w:sz w:val="24"/>
          <w:szCs w:val="24"/>
        </w:rPr>
        <w:t>středních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škol a jeho cílem je seznámit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color w:val="000000"/>
          <w:sz w:val="24"/>
          <w:szCs w:val="24"/>
        </w:rPr>
        <w:t>s </w:t>
      </w:r>
      <w:r>
        <w:rPr>
          <w:rFonts w:ascii="Arial" w:eastAsia="Arial" w:hAnsi="Arial" w:cs="Arial"/>
          <w:sz w:val="24"/>
          <w:szCs w:val="24"/>
        </w:rPr>
        <w:t>prouděním a</w:t>
      </w:r>
      <w:r w:rsidR="0019567C">
        <w:rPr>
          <w:rFonts w:ascii="Arial" w:eastAsia="Arial" w:hAnsi="Arial" w:cs="Arial"/>
          <w:sz w:val="24"/>
          <w:szCs w:val="24"/>
        </w:rPr>
        <w:t> 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>objemovým průtokem.</w:t>
      </w:r>
    </w:p>
    <w:p w:rsidR="00F136B9" w:rsidRDefault="001A00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7" w:hanging="357"/>
      </w:pPr>
      <w:hyperlink r:id="rId12">
        <w:r>
          <w:rPr>
            <w:rFonts w:ascii="Arial" w:eastAsia="Arial" w:hAnsi="Arial" w:cs="Arial"/>
            <w:b/>
            <w:color w:val="FF3399"/>
            <w:sz w:val="32"/>
            <w:szCs w:val="32"/>
            <w:u w:val="single"/>
          </w:rPr>
          <w:t>Objemový průtok</w:t>
        </w:r>
      </w:hyperlink>
      <w:r>
        <w:fldChar w:fldCharType="begin"/>
      </w:r>
      <w:r>
        <w:instrText xml:space="preserve"> HYPERLINK "https://edu.ceskatelevize.cz/video/444-3-newtonuv-zakon?vsrc=predmet&amp;vsrcid=fyzika" </w:instrText>
      </w:r>
      <w:r>
        <w:fldChar w:fldCharType="separate"/>
      </w:r>
    </w:p>
    <w:p w:rsidR="00F136B9" w:rsidRDefault="001A00DB">
      <w:pPr>
        <w:sectPr w:rsidR="00F136B9">
          <w:type w:val="continuous"/>
          <w:pgSz w:w="11906" w:h="16838"/>
          <w:pgMar w:top="720" w:right="849" w:bottom="720" w:left="720" w:header="708" w:footer="708" w:gutter="0"/>
          <w:cols w:space="708"/>
        </w:sectPr>
      </w:pPr>
      <w:r>
        <w:fldChar w:fldCharType="end"/>
      </w:r>
      <w:r>
        <w:t>_____________</w:t>
      </w:r>
      <w:r>
        <w:rPr>
          <w:color w:val="F030A1"/>
        </w:rPr>
        <w:t>______________</w:t>
      </w:r>
      <w:r>
        <w:rPr>
          <w:color w:val="33BEF2"/>
        </w:rPr>
        <w:t>______________</w:t>
      </w:r>
      <w:r>
        <w:rPr>
          <w:color w:val="404040"/>
        </w:rPr>
        <w:t>______________</w:t>
      </w:r>
    </w:p>
    <w:p w:rsidR="00F136B9" w:rsidRDefault="001A00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 w:right="403" w:hanging="357"/>
      </w:pPr>
      <w:r>
        <w:rPr>
          <w:rFonts w:ascii="Arial" w:eastAsia="Arial" w:hAnsi="Arial" w:cs="Arial"/>
          <w:b/>
          <w:sz w:val="24"/>
          <w:szCs w:val="24"/>
        </w:rPr>
        <w:t>Označte správné tvrzení:</w:t>
      </w:r>
    </w:p>
    <w:p w:rsidR="00F136B9" w:rsidRDefault="001A00D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1"/>
        <w:rPr>
          <w:rFonts w:ascii="Arial" w:eastAsia="Arial" w:hAnsi="Arial" w:cs="Arial"/>
          <w:color w:val="FF3399"/>
          <w:sz w:val="24"/>
          <w:szCs w:val="24"/>
        </w:rPr>
      </w:pPr>
      <w:bookmarkStart w:id="1" w:name="_heading=h.tmgbfcinmhhx" w:colFirst="0" w:colLast="0"/>
      <w:bookmarkEnd w:id="1"/>
      <w:r>
        <w:rPr>
          <w:rFonts w:ascii="Arial" w:eastAsia="Arial" w:hAnsi="Arial" w:cs="Arial"/>
          <w:color w:val="FF3399"/>
          <w:sz w:val="24"/>
          <w:szCs w:val="24"/>
        </w:rPr>
        <w:t>Tekutiny je souhrnné označení pro kapaliny a plyny.</w:t>
      </w:r>
    </w:p>
    <w:p w:rsidR="00F136B9" w:rsidRDefault="001A00D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1"/>
        <w:rPr>
          <w:rFonts w:ascii="Arial" w:eastAsia="Arial" w:hAnsi="Arial" w:cs="Arial"/>
          <w:sz w:val="24"/>
          <w:szCs w:val="24"/>
        </w:rPr>
      </w:pPr>
      <w:bookmarkStart w:id="2" w:name="_heading=h.gq9r1meab47m" w:colFirst="0" w:colLast="0"/>
      <w:bookmarkEnd w:id="2"/>
      <w:r>
        <w:rPr>
          <w:rFonts w:ascii="Arial" w:eastAsia="Arial" w:hAnsi="Arial" w:cs="Arial"/>
          <w:sz w:val="24"/>
          <w:szCs w:val="24"/>
        </w:rPr>
        <w:t>Tekutiny je označení pro kapaliny.</w:t>
      </w:r>
    </w:p>
    <w:p w:rsidR="00F136B9" w:rsidRDefault="001A00D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1"/>
        <w:rPr>
          <w:rFonts w:ascii="Arial" w:eastAsia="Arial" w:hAnsi="Arial" w:cs="Arial"/>
          <w:sz w:val="24"/>
          <w:szCs w:val="24"/>
        </w:rPr>
      </w:pPr>
      <w:bookmarkStart w:id="3" w:name="_heading=h.tx2rigot14zv" w:colFirst="0" w:colLast="0"/>
      <w:bookmarkEnd w:id="3"/>
      <w:r>
        <w:rPr>
          <w:rFonts w:ascii="Arial" w:eastAsia="Arial" w:hAnsi="Arial" w:cs="Arial"/>
          <w:sz w:val="24"/>
          <w:szCs w:val="24"/>
        </w:rPr>
        <w:t xml:space="preserve">Tekutiny je označení pro plyny. </w:t>
      </w:r>
    </w:p>
    <w:p w:rsidR="00F136B9" w:rsidRDefault="001A00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1"/>
      </w:pPr>
      <w:r>
        <w:rPr>
          <w:rFonts w:ascii="Arial" w:eastAsia="Arial" w:hAnsi="Arial" w:cs="Arial"/>
          <w:b/>
          <w:sz w:val="24"/>
          <w:szCs w:val="24"/>
        </w:rPr>
        <w:t>Co je to proudění?</w:t>
      </w:r>
    </w:p>
    <w:p w:rsidR="00F136B9" w:rsidRDefault="001A00DB">
      <w:pPr>
        <w:spacing w:line="480" w:lineRule="auto"/>
        <w:ind w:left="284" w:right="-11" w:firstLine="436"/>
        <w:jc w:val="both"/>
        <w:rPr>
          <w:rFonts w:ascii="Arial" w:eastAsia="Arial" w:hAnsi="Arial" w:cs="Arial"/>
          <w:color w:val="FF3399"/>
          <w:sz w:val="24"/>
          <w:szCs w:val="24"/>
        </w:rPr>
      </w:pPr>
      <w:r>
        <w:rPr>
          <w:rFonts w:ascii="Arial" w:eastAsia="Arial" w:hAnsi="Arial" w:cs="Arial"/>
          <w:color w:val="FF3399"/>
          <w:sz w:val="24"/>
          <w:szCs w:val="24"/>
        </w:rPr>
        <w:t>Proudění tekutiny je pohyb tekutiny v jednom směru.</w:t>
      </w:r>
    </w:p>
    <w:p w:rsidR="00F136B9" w:rsidRDefault="001A00DB">
      <w:pPr>
        <w:numPr>
          <w:ilvl w:val="0"/>
          <w:numId w:val="1"/>
        </w:numPr>
        <w:spacing w:after="120" w:line="480" w:lineRule="auto"/>
        <w:ind w:left="714" w:right="403" w:hanging="357"/>
      </w:pPr>
      <w:r>
        <w:rPr>
          <w:rFonts w:ascii="Arial" w:eastAsia="Arial" w:hAnsi="Arial" w:cs="Arial"/>
          <w:b/>
          <w:sz w:val="24"/>
          <w:szCs w:val="24"/>
        </w:rPr>
        <w:t>Doplňte chybějící slova:</w:t>
      </w:r>
    </w:p>
    <w:p w:rsidR="00F136B9" w:rsidRDefault="001A00DB">
      <w:pPr>
        <w:spacing w:after="120" w:line="480" w:lineRule="auto"/>
        <w:ind w:left="720" w:right="40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Pohyb jednotlivých částic proudící tekutiny popisujeme pomocí tzv. </w:t>
      </w:r>
      <w:r>
        <w:rPr>
          <w:rFonts w:ascii="Arial" w:eastAsia="Arial" w:hAnsi="Arial" w:cs="Arial"/>
          <w:color w:val="FF3399"/>
          <w:sz w:val="24"/>
          <w:szCs w:val="24"/>
        </w:rPr>
        <w:t>proudnic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:rsidR="00F136B9" w:rsidRDefault="001A00DB">
      <w:pPr>
        <w:spacing w:after="120" w:line="480" w:lineRule="auto"/>
        <w:ind w:left="720" w:right="403"/>
        <w:rPr>
          <w:rFonts w:ascii="Arial" w:eastAsia="Arial" w:hAnsi="Arial" w:cs="Arial"/>
          <w:color w:val="33BEF2"/>
        </w:rPr>
      </w:pPr>
      <w:r>
        <w:rPr>
          <w:rFonts w:ascii="Arial" w:eastAsia="Arial" w:hAnsi="Arial" w:cs="Arial"/>
          <w:sz w:val="24"/>
          <w:szCs w:val="24"/>
        </w:rPr>
        <w:t xml:space="preserve">To jsou </w:t>
      </w:r>
      <w:r>
        <w:rPr>
          <w:rFonts w:ascii="Arial" w:eastAsia="Arial" w:hAnsi="Arial" w:cs="Arial"/>
          <w:color w:val="FF3399"/>
          <w:sz w:val="24"/>
          <w:szCs w:val="24"/>
        </w:rPr>
        <w:t>myšlené</w:t>
      </w:r>
      <w:r>
        <w:rPr>
          <w:rFonts w:ascii="Arial" w:eastAsia="Arial" w:hAnsi="Arial" w:cs="Arial"/>
          <w:sz w:val="24"/>
          <w:szCs w:val="24"/>
        </w:rPr>
        <w:t xml:space="preserve"> čáry, které v kapalinách a plynech nejsou </w:t>
      </w:r>
      <w:r>
        <w:rPr>
          <w:rFonts w:ascii="Arial" w:eastAsia="Arial" w:hAnsi="Arial" w:cs="Arial"/>
          <w:color w:val="FF3399"/>
          <w:sz w:val="24"/>
          <w:szCs w:val="24"/>
        </w:rPr>
        <w:t>vidět</w:t>
      </w:r>
      <w:r>
        <w:rPr>
          <w:rFonts w:ascii="Arial" w:eastAsia="Arial" w:hAnsi="Arial" w:cs="Arial"/>
          <w:sz w:val="24"/>
          <w:szCs w:val="24"/>
        </w:rPr>
        <w:t>.</w:t>
      </w:r>
    </w:p>
    <w:p w:rsidR="00F136B9" w:rsidRDefault="001A00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1"/>
      </w:pPr>
      <w:r>
        <w:rPr>
          <w:rFonts w:ascii="Arial" w:eastAsia="Arial" w:hAnsi="Arial" w:cs="Arial"/>
          <w:b/>
          <w:sz w:val="24"/>
          <w:szCs w:val="24"/>
        </w:rPr>
        <w:t>Jak dlouho musíme čerpat vodu z hadi</w:t>
      </w:r>
      <w:r>
        <w:rPr>
          <w:rFonts w:ascii="Arial" w:eastAsia="Arial" w:hAnsi="Arial" w:cs="Arial"/>
          <w:b/>
          <w:sz w:val="24"/>
          <w:szCs w:val="24"/>
        </w:rPr>
        <w:t>ce, která má průtok 0,6 l/s, jestliže chceme načerpat 30 litrů vody?</w:t>
      </w:r>
    </w:p>
    <w:p w:rsidR="00F136B9" w:rsidRDefault="001A00DB">
      <w:pPr>
        <w:spacing w:line="480" w:lineRule="auto"/>
        <w:ind w:left="284" w:right="-11" w:firstLine="436"/>
        <w:jc w:val="both"/>
        <w:rPr>
          <w:rFonts w:ascii="Arial" w:eastAsia="Arial" w:hAnsi="Arial" w:cs="Arial"/>
          <w:color w:val="FF3399"/>
          <w:sz w:val="28"/>
          <w:szCs w:val="28"/>
        </w:rPr>
      </w:pPr>
      <m:oMathPara>
        <m:oMath>
          <m:r>
            <w:rPr>
              <w:rFonts w:ascii="Arial" w:eastAsia="Arial" w:hAnsi="Arial" w:cs="Arial"/>
              <w:color w:val="FF3399"/>
              <w:sz w:val="28"/>
              <w:szCs w:val="28"/>
            </w:rPr>
            <m:t>Q</m:t>
          </m:r>
          <m:r>
            <w:rPr>
              <w:rFonts w:ascii="Arial" w:eastAsia="Arial" w:hAnsi="Arial" w:cs="Arial"/>
              <w:color w:val="FF3399"/>
              <w:sz w:val="28"/>
              <w:szCs w:val="28"/>
            </w:rPr>
            <m:t>=</m:t>
          </m:r>
          <m:f>
            <m:fPr>
              <m:ctrlPr>
                <w:rPr>
                  <w:rFonts w:ascii="Arial" w:eastAsia="Arial" w:hAnsi="Arial" w:cs="Arial"/>
                  <w:color w:val="FF3399"/>
                  <w:sz w:val="28"/>
                  <w:szCs w:val="28"/>
                </w:rPr>
              </m:ctrlPr>
            </m:fPr>
            <m:num>
              <m:r>
                <w:rPr>
                  <w:rFonts w:ascii="Arial" w:eastAsia="Arial" w:hAnsi="Arial" w:cs="Arial"/>
                  <w:color w:val="FF3399"/>
                  <w:sz w:val="28"/>
                  <w:szCs w:val="28"/>
                </w:rPr>
                <m:t>V</m:t>
              </m:r>
            </m:num>
            <m:den>
              <m:r>
                <w:rPr>
                  <w:rFonts w:ascii="Arial" w:eastAsia="Arial" w:hAnsi="Arial" w:cs="Arial"/>
                  <w:color w:val="FF3399"/>
                  <w:sz w:val="28"/>
                  <w:szCs w:val="28"/>
                </w:rPr>
                <m:t>t</m:t>
              </m:r>
            </m:den>
          </m:f>
        </m:oMath>
      </m:oMathPara>
    </w:p>
    <w:p w:rsidR="00F136B9" w:rsidRDefault="001A00DB">
      <w:pPr>
        <w:spacing w:line="480" w:lineRule="auto"/>
        <w:ind w:left="284" w:right="-11" w:firstLine="436"/>
        <w:jc w:val="both"/>
        <w:rPr>
          <w:rFonts w:ascii="Arial" w:eastAsia="Arial" w:hAnsi="Arial" w:cs="Arial"/>
          <w:color w:val="FF3399"/>
          <w:sz w:val="28"/>
          <w:szCs w:val="28"/>
        </w:rPr>
      </w:pPr>
      <m:oMathPara>
        <m:oMath>
          <m:r>
            <w:rPr>
              <w:rFonts w:ascii="Arial" w:eastAsia="Arial" w:hAnsi="Arial" w:cs="Arial"/>
              <w:color w:val="FF3399"/>
              <w:sz w:val="28"/>
              <w:szCs w:val="28"/>
            </w:rPr>
            <m:t>t</m:t>
          </m:r>
          <m:r>
            <w:rPr>
              <w:rFonts w:ascii="Arial" w:eastAsia="Arial" w:hAnsi="Arial" w:cs="Arial"/>
              <w:color w:val="FF3399"/>
              <w:sz w:val="28"/>
              <w:szCs w:val="28"/>
            </w:rPr>
            <m:t>=</m:t>
          </m:r>
          <m:f>
            <m:fPr>
              <m:ctrlPr>
                <w:rPr>
                  <w:rFonts w:ascii="Arial" w:eastAsia="Arial" w:hAnsi="Arial" w:cs="Arial"/>
                  <w:color w:val="FF3399"/>
                  <w:sz w:val="28"/>
                  <w:szCs w:val="28"/>
                </w:rPr>
              </m:ctrlPr>
            </m:fPr>
            <m:num>
              <m:r>
                <w:rPr>
                  <w:rFonts w:ascii="Arial" w:eastAsia="Arial" w:hAnsi="Arial" w:cs="Arial"/>
                  <w:color w:val="FF3399"/>
                  <w:sz w:val="28"/>
                  <w:szCs w:val="28"/>
                </w:rPr>
                <m:t>V</m:t>
              </m:r>
            </m:num>
            <m:den>
              <m:r>
                <w:rPr>
                  <w:rFonts w:ascii="Arial" w:eastAsia="Arial" w:hAnsi="Arial" w:cs="Arial"/>
                  <w:color w:val="FF3399"/>
                  <w:sz w:val="28"/>
                  <w:szCs w:val="28"/>
                </w:rPr>
                <m:t>Q</m:t>
              </m:r>
            </m:den>
          </m:f>
          <m:r>
            <w:rPr>
              <w:rFonts w:ascii="Arial" w:eastAsia="Arial" w:hAnsi="Arial" w:cs="Arial"/>
              <w:color w:val="FF3399"/>
              <w:sz w:val="28"/>
              <w:szCs w:val="28"/>
            </w:rPr>
            <m:t>=</m:t>
          </m:r>
          <m:f>
            <m:fPr>
              <m:ctrlPr>
                <w:rPr>
                  <w:rFonts w:ascii="Arial" w:eastAsia="Arial" w:hAnsi="Arial" w:cs="Arial"/>
                  <w:color w:val="FF3399"/>
                  <w:sz w:val="28"/>
                  <w:szCs w:val="28"/>
                </w:rPr>
              </m:ctrlPr>
            </m:fPr>
            <m:num>
              <m:r>
                <w:rPr>
                  <w:rFonts w:ascii="Arial" w:eastAsia="Arial" w:hAnsi="Arial" w:cs="Arial"/>
                  <w:color w:val="FF3399"/>
                  <w:sz w:val="28"/>
                  <w:szCs w:val="28"/>
                </w:rPr>
                <m:t>30</m:t>
              </m:r>
            </m:num>
            <m:den>
              <m:r>
                <w:rPr>
                  <w:rFonts w:ascii="Arial" w:eastAsia="Arial" w:hAnsi="Arial" w:cs="Arial"/>
                  <w:color w:val="FF3399"/>
                  <w:sz w:val="28"/>
                  <w:szCs w:val="28"/>
                </w:rPr>
                <m:t>0,6</m:t>
              </m:r>
            </m:den>
          </m:f>
          <m:r>
            <w:rPr>
              <w:rFonts w:ascii="Arial" w:eastAsia="Arial" w:hAnsi="Arial" w:cs="Arial"/>
              <w:color w:val="FF3399"/>
              <w:sz w:val="28"/>
              <w:szCs w:val="28"/>
            </w:rPr>
            <m:t xml:space="preserve"> </m:t>
          </m:r>
          <m:r>
            <w:rPr>
              <w:rFonts w:ascii="Arial" w:eastAsia="Arial" w:hAnsi="Arial" w:cs="Arial"/>
              <w:color w:val="FF3399"/>
              <w:sz w:val="28"/>
              <w:szCs w:val="28"/>
            </w:rPr>
            <m:t>s</m:t>
          </m:r>
          <m:r>
            <w:rPr>
              <w:rFonts w:ascii="Arial" w:eastAsia="Arial" w:hAnsi="Arial" w:cs="Arial"/>
              <w:color w:val="FF3399"/>
              <w:sz w:val="28"/>
              <w:szCs w:val="28"/>
            </w:rPr>
            <m:t xml:space="preserve"> =50 </m:t>
          </m:r>
          <m:r>
            <w:rPr>
              <w:rFonts w:ascii="Arial" w:eastAsia="Arial" w:hAnsi="Arial" w:cs="Arial"/>
              <w:color w:val="FF3399"/>
              <w:sz w:val="28"/>
              <w:szCs w:val="28"/>
            </w:rPr>
            <m:t>s</m:t>
          </m:r>
        </m:oMath>
      </m:oMathPara>
    </w:p>
    <w:p w:rsidR="00F136B9" w:rsidRDefault="001A00DB">
      <w:pPr>
        <w:spacing w:line="480" w:lineRule="auto"/>
        <w:ind w:left="284" w:right="-11" w:firstLine="436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color w:val="FF3399"/>
          <w:sz w:val="24"/>
          <w:szCs w:val="24"/>
        </w:rPr>
        <w:t xml:space="preserve">Vodu musíme čerpat 50 s. </w:t>
      </w:r>
      <w:r>
        <w:br w:type="page"/>
      </w:r>
    </w:p>
    <w:p w:rsidR="00F136B9" w:rsidRDefault="001A00D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030A1"/>
          <w:sz w:val="28"/>
          <w:szCs w:val="28"/>
        </w:rPr>
        <w:sectPr w:rsidR="00F136B9">
          <w:type w:val="continuous"/>
          <w:pgSz w:w="11906" w:h="16838"/>
          <w:pgMar w:top="720" w:right="991" w:bottom="720" w:left="720" w:header="708" w:footer="708" w:gutter="0"/>
          <w:cols w:space="708"/>
        </w:sectPr>
      </w:pPr>
      <w:r>
        <w:rPr>
          <w:rFonts w:ascii="Arial" w:eastAsia="Arial" w:hAnsi="Arial" w:cs="Arial"/>
          <w:b/>
          <w:color w:val="F030A1"/>
          <w:sz w:val="28"/>
          <w:szCs w:val="28"/>
        </w:rPr>
        <w:lastRenderedPageBreak/>
        <w:t>Co jsem se touto aktivitou naučil(a):</w:t>
      </w:r>
    </w:p>
    <w:p w:rsidR="00F136B9" w:rsidRDefault="001A00D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284" w:right="-11"/>
        <w:jc w:val="both"/>
        <w:rPr>
          <w:rFonts w:ascii="Arial" w:eastAsia="Arial" w:hAnsi="Arial" w:cs="Arial"/>
          <w:color w:val="33BEF2"/>
        </w:rPr>
        <w:sectPr w:rsidR="00F136B9">
          <w:type w:val="continuous"/>
          <w:pgSz w:w="11906" w:h="16838"/>
          <w:pgMar w:top="720" w:right="991" w:bottom="720" w:left="720" w:header="708" w:footer="708" w:gutter="0"/>
          <w:cols w:space="708"/>
        </w:sectPr>
      </w:pPr>
      <w:r>
        <w:rPr>
          <w:rFonts w:ascii="Arial" w:eastAsia="Arial" w:hAnsi="Arial" w:cs="Arial"/>
          <w:color w:val="33BEF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36B9" w:rsidRDefault="00F136B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136B9" w:rsidRDefault="001A00D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>
                <wp:simplePos x="0" y="0"/>
                <wp:positionH relativeFrom="column">
                  <wp:posOffset>-165099</wp:posOffset>
                </wp:positionH>
                <wp:positionV relativeFrom="paragraph">
                  <wp:posOffset>5786120</wp:posOffset>
                </wp:positionV>
                <wp:extent cx="6913245" cy="1059180"/>
                <wp:effectExtent l="0" t="0" r="0" b="0"/>
                <wp:wrapSquare wrapText="bothSides" distT="45720" distB="45720" distL="114300" distR="114300"/>
                <wp:docPr id="43" name="Obdélní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08428" y="3269460"/>
                          <a:ext cx="6875145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136B9" w:rsidRDefault="001A00DB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Autor: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 xml:space="preserve">Toto dílo je licencováno pod licencí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Creative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Commons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[CC BY-NC 4.0]. Licenční podmínky navštivte na adrese</w:t>
                            </w:r>
                            <w:r>
                              <w:rPr>
                                <w:color w:val="000000"/>
                              </w:rPr>
                              <w:t xml:space="preserve"> [https://creativecommons.org/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choose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/?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lang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=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cs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].</w:t>
                            </w:r>
                          </w:p>
                          <w:p w:rsidR="00F136B9" w:rsidRDefault="00F136B9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43" o:spid="_x0000_s1026" style="position:absolute;margin-left:-13pt;margin-top:455.6pt;width:544.35pt;height:83.4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" filled="f" stroked="f">
                <v:textbox inset="2.53958mm,1.2694mm,2.53958mm,1.2694mm">
                  <w:txbxContent>
                    <w:p w:rsidR="00F136B9" w:rsidRDefault="001A00DB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 Autor: </w:t>
                      </w:r>
                      <w:r>
                        <w:rPr>
                          <w:color w:val="000000"/>
                        </w:rPr>
                        <w:br/>
                        <w:t xml:space="preserve">Toto dílo je licencováno pod licencí </w:t>
                      </w:r>
                      <w:proofErr w:type="spellStart"/>
                      <w:r>
                        <w:rPr>
                          <w:color w:val="000000"/>
                        </w:rPr>
                        <w:t>Creative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Commons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[CC BY-NC 4.0]. Licenční podmínky navštivte na adrese</w:t>
                      </w:r>
                      <w:r>
                        <w:rPr>
                          <w:color w:val="000000"/>
                        </w:rPr>
                        <w:t xml:space="preserve"> [https://creativecommons.org/</w:t>
                      </w:r>
                      <w:proofErr w:type="spellStart"/>
                      <w:r>
                        <w:rPr>
                          <w:color w:val="000000"/>
                        </w:rPr>
                        <w:t>choose</w:t>
                      </w:r>
                      <w:proofErr w:type="spellEnd"/>
                      <w:r>
                        <w:rPr>
                          <w:color w:val="000000"/>
                        </w:rPr>
                        <w:t>/?</w:t>
                      </w:r>
                      <w:proofErr w:type="spellStart"/>
                      <w:r>
                        <w:rPr>
                          <w:color w:val="000000"/>
                        </w:rPr>
                        <w:t>lang</w:t>
                      </w:r>
                      <w:proofErr w:type="spellEnd"/>
                      <w:r>
                        <w:rPr>
                          <w:color w:val="000000"/>
                        </w:rPr>
                        <w:t>=</w:t>
                      </w:r>
                      <w:proofErr w:type="spellStart"/>
                      <w:r>
                        <w:rPr>
                          <w:color w:val="000000"/>
                        </w:rPr>
                        <w:t>cs</w:t>
                      </w:r>
                      <w:proofErr w:type="spellEnd"/>
                      <w:r>
                        <w:rPr>
                          <w:color w:val="000000"/>
                        </w:rPr>
                        <w:t>].</w:t>
                      </w:r>
                    </w:p>
                    <w:p w:rsidR="00F136B9" w:rsidRDefault="00F136B9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F136B9">
      <w:type w:val="continuous"/>
      <w:pgSz w:w="11906" w:h="16838"/>
      <w:pgMar w:top="720" w:right="991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0DB" w:rsidRDefault="001A00DB">
      <w:pPr>
        <w:spacing w:after="0" w:line="240" w:lineRule="auto"/>
      </w:pPr>
      <w:r>
        <w:separator/>
      </w:r>
    </w:p>
  </w:endnote>
  <w:endnote w:type="continuationSeparator" w:id="0">
    <w:p w:rsidR="001A00DB" w:rsidRDefault="001A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6B9" w:rsidRDefault="00F136B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6"/>
      <w:tblW w:w="10455" w:type="dxa"/>
      <w:tblInd w:w="0" w:type="dxa"/>
      <w:tblLayout w:type="fixed"/>
      <w:tblLook w:val="0600" w:firstRow="0" w:lastRow="0" w:firstColumn="0" w:lastColumn="0" w:noHBand="1" w:noVBand="1"/>
    </w:tblPr>
    <w:tblGrid>
      <w:gridCol w:w="3485"/>
      <w:gridCol w:w="3485"/>
      <w:gridCol w:w="3485"/>
    </w:tblGrid>
    <w:tr w:rsidR="00F136B9">
      <w:tc>
        <w:tcPr>
          <w:tcW w:w="3485" w:type="dxa"/>
        </w:tcPr>
        <w:p w:rsidR="00F136B9" w:rsidRDefault="00F136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485" w:type="dxa"/>
        </w:tcPr>
        <w:p w:rsidR="00F136B9" w:rsidRDefault="00F136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485" w:type="dxa"/>
        </w:tcPr>
        <w:p w:rsidR="00F136B9" w:rsidRDefault="00F136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:rsidR="00F136B9" w:rsidRDefault="001A00D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-103512</wp:posOffset>
          </wp:positionH>
          <wp:positionV relativeFrom="paragraph">
            <wp:posOffset>0</wp:posOffset>
          </wp:positionV>
          <wp:extent cx="1141095" cy="1277620"/>
          <wp:effectExtent l="0" t="0" r="0" b="0"/>
          <wp:wrapNone/>
          <wp:docPr id="4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6B9" w:rsidRDefault="00F136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0DB" w:rsidRDefault="001A00DB">
      <w:pPr>
        <w:spacing w:after="0" w:line="240" w:lineRule="auto"/>
      </w:pPr>
      <w:r>
        <w:separator/>
      </w:r>
    </w:p>
  </w:footnote>
  <w:footnote w:type="continuationSeparator" w:id="0">
    <w:p w:rsidR="001A00DB" w:rsidRDefault="001A0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6B9" w:rsidRDefault="00F136B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5"/>
      <w:tblW w:w="10455" w:type="dxa"/>
      <w:tblInd w:w="0" w:type="dxa"/>
      <w:tblLayout w:type="fixed"/>
      <w:tblLook w:val="0600" w:firstRow="0" w:lastRow="0" w:firstColumn="0" w:lastColumn="0" w:noHBand="1" w:noVBand="1"/>
    </w:tblPr>
    <w:tblGrid>
      <w:gridCol w:w="10455"/>
    </w:tblGrid>
    <w:tr w:rsidR="00F136B9">
      <w:trPr>
        <w:trHeight w:val="1278"/>
      </w:trPr>
      <w:tc>
        <w:tcPr>
          <w:tcW w:w="10455" w:type="dxa"/>
        </w:tcPr>
        <w:p w:rsidR="00F136B9" w:rsidRDefault="001A00DB">
          <w:pPr>
            <w:tabs>
              <w:tab w:val="center" w:pos="4680"/>
              <w:tab w:val="right" w:pos="9360"/>
            </w:tabs>
            <w:spacing w:after="0" w:line="240" w:lineRule="auto"/>
            <w:rPr>
              <w:color w:val="000000"/>
            </w:rPr>
          </w:pPr>
          <w:r>
            <w:rPr>
              <w:noProof/>
            </w:rPr>
            <w:drawing>
              <wp:inline distT="0" distB="0" distL="0" distR="0">
                <wp:extent cx="6486525" cy="1003300"/>
                <wp:effectExtent l="0" t="0" r="0" b="0"/>
                <wp:docPr id="4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6525" cy="1003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F136B9" w:rsidRDefault="00F136B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6B9" w:rsidRDefault="001A00D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6553200" cy="1009650"/>
          <wp:effectExtent l="0" t="0" r="0" b="0"/>
          <wp:docPr id="4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A79A8"/>
    <w:multiLevelType w:val="multilevel"/>
    <w:tmpl w:val="FC1663A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63C57"/>
    <w:multiLevelType w:val="multilevel"/>
    <w:tmpl w:val="489633C8"/>
    <w:lvl w:ilvl="0">
      <w:start w:val="1"/>
      <w:numFmt w:val="bullet"/>
      <w:lvlText w:val="●"/>
      <w:lvlJc w:val="left"/>
      <w:pPr>
        <w:ind w:left="360" w:hanging="360"/>
      </w:pPr>
      <w:rPr>
        <w:rFonts w:ascii="Noto Sans" w:eastAsia="Noto Sans" w:hAnsi="Noto Sans" w:cs="Noto Sans"/>
        <w:color w:val="FF3399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eastAsia="Noto Sans" w:hAnsi="Noto Sans" w:cs="Noto Sans"/>
      </w:rPr>
    </w:lvl>
  </w:abstractNum>
  <w:abstractNum w:abstractNumId="2" w15:restartNumberingAfterBreak="0">
    <w:nsid w:val="696E7627"/>
    <w:multiLevelType w:val="multilevel"/>
    <w:tmpl w:val="FBC4121A"/>
    <w:lvl w:ilvl="0">
      <w:start w:val="1"/>
      <w:numFmt w:val="decimal"/>
      <w:pStyle w:val="Odrkakostk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6B9"/>
    <w:rsid w:val="0019567C"/>
    <w:rsid w:val="001A00DB"/>
    <w:rsid w:val="00F1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BCB7A"/>
  <w15:docId w15:val="{37575256-DECF-4EE2-AF69-AE0EC4D2D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dpisseznamu">
    <w:name w:val="Nadpis seznamu"/>
    <w:basedOn w:val="Normln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qFormat/>
    <w:rsid w:val="007D2437"/>
    <w:pPr>
      <w:numPr>
        <w:numId w:val="3"/>
      </w:numPr>
      <w:ind w:right="968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qFormat/>
    <w:rsid w:val="00EE3316"/>
    <w:pPr>
      <w:tabs>
        <w:tab w:val="num" w:pos="720"/>
      </w:tabs>
      <w:spacing w:line="240" w:lineRule="auto"/>
      <w:ind w:left="720" w:right="401" w:hanging="720"/>
    </w:pPr>
    <w:rPr>
      <w:rFonts w:ascii="Arial" w:eastAsia="Arial" w:hAnsi="Arial" w:cs="Arial"/>
      <w:b/>
      <w:noProof/>
      <w:sz w:val="24"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 w:after="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7D2437"/>
    <w:rPr>
      <w:rFonts w:ascii="Arial" w:eastAsia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0"/>
      </w:numPr>
      <w:tabs>
        <w:tab w:val="num" w:pos="720"/>
      </w:tabs>
      <w:ind w:left="720" w:hanging="720"/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  <w:pPr>
      <w:spacing w:after="0"/>
    </w:pPr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  <w:style w:type="paragraph" w:styleId="Normlnweb">
    <w:name w:val="Normal (Web)"/>
    <w:basedOn w:val="Normln"/>
    <w:uiPriority w:val="99"/>
    <w:semiHidden/>
    <w:unhideWhenUsed/>
    <w:rsid w:val="008C1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6C7A07"/>
    <w:rPr>
      <w:color w:val="80808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u.ceskatelevize.cz/video/6932-pokus-objemovy-prutok?vsrc=predmet&amp;vsrcid=fyzik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AW/dFCcdjGX71SfqRextHYUxww==">AMUW2mXvJ+n5db2KMmCRHDLgTVXdtKAsEfZe7Jzm7i+o1w8Rb+VF0WMSLX7x7S47p2i+fCk+nz6Lb2b4B4aBSb4hvCN0LSZsMqIlBgzsNC78/pMOnnYbBxffRbNLGfVO/OLtLJkVQAYUX0gP0HHieVVXWY6EZpX6CCAnJIS8+bway5Q8QOF3J9k=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168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Johanovský</dc:creator>
  <cp:lastModifiedBy>Čtvrtečková Lenka</cp:lastModifiedBy>
  <cp:revision>2</cp:revision>
  <dcterms:created xsi:type="dcterms:W3CDTF">2021-10-07T18:41:00Z</dcterms:created>
  <dcterms:modified xsi:type="dcterms:W3CDTF">2023-05-24T14:02:00Z</dcterms:modified>
</cp:coreProperties>
</file>